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0C" w:rsidRDefault="005E280E">
      <w:pPr>
        <w:spacing w:line="360" w:lineRule="auto"/>
        <w:jc w:val="left"/>
        <w:rPr>
          <w:rFonts w:ascii="Times New Roman" w:eastAsia="仿宋_GB2312" w:hAnsi="Times New Roman" w:cs="Times New Roman"/>
          <w:color w:val="000000" w:themeColor="text1"/>
          <w:sz w:val="24"/>
          <w:lang w:val="es-ES"/>
        </w:rPr>
      </w:pPr>
      <w:r>
        <w:rPr>
          <w:rFonts w:ascii="Times New Roman" w:eastAsia="仿宋_GB2312" w:hAnsi="Times New Roman" w:cs="Times New Roman"/>
          <w:color w:val="000000" w:themeColor="text1"/>
          <w:sz w:val="24"/>
          <w:lang w:val="es-ES"/>
        </w:rPr>
        <w:t xml:space="preserve">Anexo: </w:t>
      </w:r>
    </w:p>
    <w:p w:rsidR="0035270C" w:rsidRDefault="005E280E">
      <w:pPr>
        <w:spacing w:line="360" w:lineRule="auto"/>
        <w:ind w:firstLineChars="200" w:firstLine="640"/>
        <w:jc w:val="center"/>
        <w:rPr>
          <w:rFonts w:ascii="Times New Roman" w:eastAsia="仿宋_GB2312" w:hAnsi="Times New Roman" w:cs="Times New Roman"/>
          <w:b/>
          <w:bCs/>
          <w:color w:val="000000" w:themeColor="text1"/>
          <w:sz w:val="32"/>
          <w:szCs w:val="32"/>
          <w:lang w:val="es-ES"/>
        </w:rPr>
      </w:pPr>
      <w:bookmarkStart w:id="0" w:name="_GoBack"/>
      <w:bookmarkEnd w:id="0"/>
      <w:r>
        <w:rPr>
          <w:rFonts w:ascii="Times New Roman" w:eastAsia="方正小标宋简体" w:hAnsi="Times New Roman" w:cs="Times New Roman"/>
          <w:b/>
          <w:bCs/>
          <w:color w:val="000000" w:themeColor="text1"/>
          <w:sz w:val="32"/>
          <w:szCs w:val="32"/>
          <w:lang w:val="es-ES"/>
        </w:rPr>
        <w:t>Acceso gratuito para el autoservicio de la obtención de la información relacionada con la propiedad inmobiliaria a negociar</w:t>
      </w:r>
    </w:p>
    <w:p w:rsidR="0035270C" w:rsidRDefault="005E280E">
      <w:pPr>
        <w:spacing w:line="360" w:lineRule="auto"/>
        <w:ind w:firstLineChars="200" w:firstLine="480"/>
        <w:rPr>
          <w:rFonts w:ascii="Times New Roman" w:eastAsia="仿宋_GB2312" w:hAnsi="Times New Roman" w:cs="Times New Roman"/>
          <w:color w:val="000000" w:themeColor="text1"/>
          <w:sz w:val="24"/>
          <w:lang w:val="es-ES"/>
        </w:rPr>
      </w:pPr>
      <w:r>
        <w:rPr>
          <w:rFonts w:ascii="Times New Roman" w:eastAsia="仿宋_GB2312" w:hAnsi="Times New Roman" w:cs="Times New Roman"/>
          <w:color w:val="000000" w:themeColor="text1"/>
          <w:sz w:val="24"/>
          <w:lang w:val="es-ES"/>
        </w:rPr>
        <w:t xml:space="preserve">1. Las autoridades de registro de bienes raíces proporcionará gratuitamente la información de registro de bienes raíces (incluida la información de propiedad, información sobre el estado natural, la existencia o no de carga de derechos, restricciones judiciales sobre los bienes raíces, entre otros) y se podrá acceder a ella a través de la “Plataforma de servicios en línea del campo de registro de bienes raíces de Beijing” (dirección del sitio web: </w:t>
      </w:r>
      <w:hyperlink r:id="rId8" w:history="1">
        <w:r>
          <w:rPr>
            <w:rStyle w:val="a5"/>
            <w:rFonts w:ascii="Times New Roman" w:eastAsia="仿宋_GB2312" w:hAnsi="Times New Roman" w:cs="Times New Roman"/>
            <w:sz w:val="24"/>
            <w:lang w:val="es-ES"/>
          </w:rPr>
          <w:t>http://bdc.ghzrzyw.beijing.gov.cn/eo/user/index.go</w:t>
        </w:r>
        <w:r>
          <w:rPr>
            <w:rStyle w:val="a5"/>
            <w:rFonts w:ascii="Times New Roman" w:eastAsia="仿宋_GB2312" w:hAnsi="Times New Roman" w:cs="Times New Roman" w:hint="eastAsia"/>
            <w:color w:val="auto"/>
            <w:sz w:val="24"/>
            <w:u w:val="none"/>
            <w:lang w:val="es-ES"/>
          </w:rPr>
          <w:t>）</w:t>
        </w:r>
        <w:r>
          <w:rPr>
            <w:rStyle w:val="a5"/>
            <w:rFonts w:ascii="Times New Roman" w:eastAsia="仿宋_GB2312" w:hAnsi="Times New Roman" w:cs="Times New Roman"/>
            <w:color w:val="auto"/>
            <w:sz w:val="24"/>
            <w:u w:val="none"/>
            <w:lang w:val="es-ES"/>
          </w:rPr>
          <w:t>O</w:t>
        </w:r>
      </w:hyperlink>
      <w:r>
        <w:rPr>
          <w:rFonts w:ascii="Times New Roman" w:eastAsia="仿宋_GB2312" w:hAnsi="Times New Roman" w:cs="Times New Roman"/>
          <w:color w:val="000000" w:themeColor="text1"/>
          <w:sz w:val="24"/>
          <w:lang w:val="es-ES"/>
        </w:rPr>
        <w:t xml:space="preserve"> por la APP “ Registro de bienes raíces de Beijing en su palma” (</w:t>
      </w:r>
      <w:r>
        <w:rPr>
          <w:rFonts w:ascii="Times New Roman" w:eastAsia="仿宋_GB2312" w:hAnsi="Times New Roman" w:cs="Times New Roman" w:hint="eastAsia"/>
          <w:color w:val="000000" w:themeColor="text1"/>
          <w:sz w:val="24"/>
          <w:lang w:val="es-ES"/>
        </w:rPr>
        <w:t>北京市不动产掌上登记中心</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o la APP “BeijingTong” (</w:t>
      </w:r>
      <w:r>
        <w:rPr>
          <w:rFonts w:ascii="Times New Roman" w:eastAsia="仿宋_GB2312" w:hAnsi="Times New Roman" w:cs="Times New Roman"/>
          <w:color w:val="000000" w:themeColor="text1"/>
          <w:sz w:val="24"/>
          <w:lang w:val="es-ES"/>
        </w:rPr>
        <w:t>北京通</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o en la sala de registro de bienes raíces de cada distrito a través de la máquina o ventanilla de consulta de autoservicio.</w:t>
      </w:r>
    </w:p>
    <w:p w:rsidR="0035270C" w:rsidRDefault="005E280E">
      <w:pPr>
        <w:spacing w:line="360" w:lineRule="auto"/>
        <w:ind w:firstLineChars="200" w:firstLine="480"/>
        <w:rPr>
          <w:rFonts w:ascii="Times New Roman" w:eastAsia="仿宋_GB2312" w:hAnsi="Times New Roman" w:cs="Times New Roman"/>
          <w:color w:val="000000" w:themeColor="text1"/>
          <w:sz w:val="24"/>
          <w:lang w:val="es-ES"/>
        </w:rPr>
      </w:pPr>
      <w:r>
        <w:rPr>
          <w:rStyle w:val="a5"/>
          <w:rFonts w:ascii="Times New Roman" w:eastAsia="Batang" w:hAnsi="Times New Roman" w:cs="Times New Roman"/>
          <w:color w:val="000000" w:themeColor="text1"/>
          <w:sz w:val="24"/>
          <w:u w:val="none"/>
          <w:lang w:val="es-ES"/>
        </w:rPr>
        <w:t>2. El modelo de contrato de transacción de inmobiliarios se podrá descargar en la página web oficial de la Comisión Municipal de Vivienda y Desarrollo Urbano Rural de Beijing de forma gratuita. Página web: http://zjw.beijing.gov.cn/bjjs/fwgl/fdcjy/fdcjyxxgs/xzhtsfwb/index.shtml</w:t>
      </w:r>
    </w:p>
    <w:p w:rsidR="0035270C" w:rsidRDefault="005E280E">
      <w:pPr>
        <w:spacing w:line="360" w:lineRule="auto"/>
        <w:ind w:firstLineChars="200" w:firstLine="480"/>
        <w:rPr>
          <w:rStyle w:val="a5"/>
          <w:rFonts w:ascii="Times New Roman" w:eastAsia="Batang" w:hAnsi="Times New Roman" w:cs="Times New Roman"/>
          <w:color w:val="000000" w:themeColor="text1"/>
          <w:sz w:val="24"/>
          <w:u w:val="none"/>
          <w:lang w:val="es-ES"/>
        </w:rPr>
      </w:pPr>
      <w:r>
        <w:rPr>
          <w:rStyle w:val="a5"/>
          <w:rFonts w:ascii="Times New Roman" w:eastAsia="Batang" w:hAnsi="Times New Roman" w:cs="Times New Roman"/>
          <w:color w:val="000000" w:themeColor="text1"/>
          <w:sz w:val="24"/>
          <w:u w:val="none"/>
          <w:lang w:val="es-ES"/>
        </w:rPr>
        <w:t>3. La información de las regulaciones zonificadas que afectan a los bienes raíces se podrá encontrar de forma gratuita en la página web oficial de la Comisión Municipal de Planificación y Recursos Naturales de Beijing. Página web: http://ghzrzyw.beijing.gov.cn/zhengwuxinxi/ghcg/xxgh/</w:t>
      </w:r>
    </w:p>
    <w:p w:rsidR="0035270C" w:rsidRDefault="005E280E" w:rsidP="00B938E5">
      <w:pPr>
        <w:widowControl/>
        <w:spacing w:line="360" w:lineRule="auto"/>
        <w:ind w:firstLineChars="200" w:firstLine="480"/>
        <w:rPr>
          <w:rStyle w:val="a5"/>
          <w:rFonts w:ascii="Times New Roman" w:eastAsia="Batang" w:hAnsi="Times New Roman" w:cs="Times New Roman"/>
          <w:color w:val="000000" w:themeColor="text1"/>
          <w:sz w:val="24"/>
          <w:u w:val="none"/>
          <w:lang w:val="es-ES"/>
        </w:rPr>
      </w:pPr>
      <w:r>
        <w:rPr>
          <w:rStyle w:val="a5"/>
          <w:rFonts w:ascii="Times New Roman" w:eastAsia="Batang" w:hAnsi="Times New Roman" w:cs="Times New Roman"/>
          <w:color w:val="000000" w:themeColor="text1"/>
          <w:sz w:val="24"/>
          <w:u w:val="none"/>
          <w:lang w:val="es-ES"/>
        </w:rPr>
        <w:t>4. La información sobre los atrasos de impuestos de las empresas se podrá consultar gratis en la página web oficial de la Oficina de Impuestos de Beijing de la Administración Estatal de Impuestos. Página web:</w:t>
      </w:r>
    </w:p>
    <w:p w:rsidR="0035270C" w:rsidRDefault="005E280E">
      <w:pPr>
        <w:widowControl/>
        <w:spacing w:line="360" w:lineRule="auto"/>
        <w:jc w:val="left"/>
        <w:rPr>
          <w:rStyle w:val="a5"/>
          <w:rFonts w:ascii="Times New Roman" w:eastAsia="Batang" w:hAnsi="Times New Roman" w:cs="Times New Roman"/>
          <w:color w:val="000000" w:themeColor="text1"/>
          <w:sz w:val="24"/>
          <w:u w:val="none"/>
          <w:lang w:val="es-ES"/>
        </w:rPr>
      </w:pPr>
      <w:r>
        <w:rPr>
          <w:rStyle w:val="a5"/>
          <w:rFonts w:ascii="Times New Roman" w:eastAsia="Batang" w:hAnsi="Times New Roman" w:cs="Times New Roman"/>
          <w:color w:val="000000" w:themeColor="text1"/>
          <w:sz w:val="24"/>
          <w:u w:val="none"/>
          <w:lang w:val="es-ES"/>
        </w:rPr>
        <w:t>http://beijing.chinatax.gov.cn/bjsat/office/jsp/qsgg/query.jsp</w:t>
      </w:r>
    </w:p>
    <w:p w:rsidR="0035270C" w:rsidRDefault="005E280E">
      <w:pPr>
        <w:spacing w:line="360" w:lineRule="auto"/>
        <w:ind w:firstLineChars="200" w:firstLine="480"/>
        <w:rPr>
          <w:rFonts w:ascii="Times New Roman" w:eastAsia="仿宋_GB2312" w:hAnsi="Times New Roman" w:cs="Times New Roman"/>
          <w:color w:val="000000" w:themeColor="text1"/>
          <w:sz w:val="24"/>
          <w:lang w:val="es-ES"/>
        </w:rPr>
      </w:pPr>
      <w:r>
        <w:rPr>
          <w:rFonts w:ascii="Times New Roman" w:eastAsia="仿宋_GB2312" w:hAnsi="Times New Roman" w:cs="Times New Roman"/>
          <w:color w:val="000000" w:themeColor="text1"/>
          <w:sz w:val="24"/>
          <w:lang w:val="es-ES"/>
        </w:rPr>
        <w:lastRenderedPageBreak/>
        <w:t xml:space="preserve">5. El pago de los derechos de los servicios públicos relacionados con el sector inmobiliario se </w:t>
      </w:r>
      <w:r>
        <w:rPr>
          <w:rStyle w:val="a5"/>
          <w:rFonts w:ascii="Times New Roman" w:eastAsia="Batang" w:hAnsi="Times New Roman" w:cs="Times New Roman"/>
          <w:color w:val="000000" w:themeColor="text1"/>
          <w:sz w:val="24"/>
          <w:u w:val="none"/>
          <w:lang w:val="es-ES"/>
        </w:rPr>
        <w:t xml:space="preserve">podrá </w:t>
      </w:r>
      <w:r>
        <w:rPr>
          <w:rFonts w:ascii="Times New Roman" w:eastAsia="仿宋_GB2312" w:hAnsi="Times New Roman" w:cs="Times New Roman"/>
          <w:color w:val="000000" w:themeColor="text1"/>
          <w:sz w:val="24"/>
          <w:lang w:val="es-ES"/>
        </w:rPr>
        <w:t>solicitar gratuitamente de las siguientes formas:</w:t>
      </w:r>
    </w:p>
    <w:p w:rsidR="0035270C" w:rsidRDefault="005E280E">
      <w:pPr>
        <w:spacing w:line="360" w:lineRule="auto"/>
        <w:ind w:firstLineChars="200" w:firstLine="480"/>
        <w:rPr>
          <w:rFonts w:ascii="Times New Roman" w:hAnsi="Times New Roman" w:cs="Times New Roman"/>
          <w:color w:val="000000" w:themeColor="text1"/>
          <w:sz w:val="24"/>
          <w:lang w:val="es-ES"/>
        </w:rPr>
      </w:pPr>
      <w:r>
        <w:rPr>
          <w:rFonts w:ascii="Times New Roman" w:hAnsi="Times New Roman" w:cs="Times New Roman"/>
          <w:color w:val="000000" w:themeColor="text1"/>
          <w:sz w:val="24"/>
          <w:lang w:val="es-ES"/>
        </w:rPr>
        <w:t>Tarifa de electricidad: 95598 línea directa de energía eléctrica, aplicación “red estatal en línea” (</w:t>
      </w:r>
      <w:r>
        <w:rPr>
          <w:rFonts w:ascii="Times New Roman" w:eastAsia="仿宋_GB2312" w:hAnsi="Times New Roman" w:cs="Times New Roman"/>
          <w:color w:val="000000" w:themeColor="text1"/>
          <w:sz w:val="24"/>
          <w:lang w:val="es-ES"/>
        </w:rPr>
        <w:t>网上国网</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w:t>
      </w:r>
      <w:r>
        <w:rPr>
          <w:rFonts w:ascii="Times New Roman" w:hAnsi="Times New Roman" w:cs="Times New Roman"/>
          <w:color w:val="000000" w:themeColor="text1"/>
          <w:sz w:val="24"/>
          <w:lang w:val="es-ES"/>
        </w:rPr>
        <w:t xml:space="preserve">), oficinas comerciales locales de energía eléctrica, 95598 página web interactiva inteligente </w:t>
      </w:r>
      <w:r>
        <w:rPr>
          <w:rFonts w:ascii="Times New Roman" w:hAnsi="Times New Roman" w:cs="Times New Roman"/>
          <w:color w:val="000000" w:themeColor="text1"/>
          <w:sz w:val="24"/>
          <w:lang w:val="es-ES"/>
        </w:rPr>
        <w:t>（</w:t>
      </w:r>
      <w:r>
        <w:rPr>
          <w:rFonts w:ascii="Times New Roman" w:hAnsi="Times New Roman" w:cs="Times New Roman"/>
          <w:color w:val="000000" w:themeColor="text1"/>
          <w:sz w:val="24"/>
          <w:lang w:val="es-ES"/>
        </w:rPr>
        <w:t>http://www.95598.cn/person/as/index.shtml)</w:t>
      </w:r>
    </w:p>
    <w:p w:rsidR="0035270C" w:rsidRDefault="005E280E">
      <w:pPr>
        <w:spacing w:line="360" w:lineRule="auto"/>
        <w:ind w:firstLineChars="200" w:firstLine="480"/>
        <w:rPr>
          <w:rFonts w:ascii="Times New Roman" w:eastAsia="仿宋_GB2312" w:hAnsi="Times New Roman" w:cs="Times New Roman"/>
          <w:color w:val="000000" w:themeColor="text1"/>
          <w:sz w:val="24"/>
          <w:lang w:val="es-ES"/>
        </w:rPr>
      </w:pPr>
      <w:r>
        <w:rPr>
          <w:rFonts w:ascii="Times New Roman" w:eastAsia="仿宋_GB2312" w:hAnsi="Times New Roman" w:cs="Times New Roman"/>
          <w:color w:val="000000" w:themeColor="text1"/>
          <w:sz w:val="24"/>
          <w:lang w:val="es-ES"/>
        </w:rPr>
        <w:t>Tarifa de agua: línea directa de suministro de agua: 96116, cuenta oficial de WeChat del “Grupo de Suministro de Agua de Beijing” (</w:t>
      </w:r>
      <w:r>
        <w:rPr>
          <w:rFonts w:ascii="Times New Roman" w:eastAsia="仿宋_GB2312" w:hAnsi="Times New Roman" w:cs="Times New Roman" w:hint="eastAsia"/>
          <w:color w:val="000000" w:themeColor="text1"/>
          <w:sz w:val="24"/>
          <w:lang w:val="es-ES"/>
        </w:rPr>
        <w:t>北京市自来水集团</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en las salas de servicio de agua</w:t>
      </w:r>
    </w:p>
    <w:p w:rsidR="0035270C" w:rsidRDefault="005E280E">
      <w:pPr>
        <w:spacing w:line="360" w:lineRule="auto"/>
        <w:ind w:firstLineChars="200" w:firstLine="480"/>
        <w:rPr>
          <w:rFonts w:ascii="Times New Roman" w:eastAsia="仿宋_GB2312" w:hAnsi="Times New Roman" w:cs="Times New Roman"/>
          <w:color w:val="000000" w:themeColor="text1"/>
          <w:sz w:val="24"/>
          <w:lang w:val="es-ES"/>
        </w:rPr>
      </w:pPr>
      <w:r>
        <w:rPr>
          <w:rFonts w:ascii="Times New Roman" w:eastAsia="仿宋_GB2312" w:hAnsi="Times New Roman" w:cs="Times New Roman"/>
          <w:color w:val="000000" w:themeColor="text1"/>
          <w:sz w:val="24"/>
          <w:lang w:val="es-ES"/>
        </w:rPr>
        <w:t xml:space="preserve">Tarifa de gas: línea directa de gas 96777, aplicación “Beijing gas” (nombre en chino: </w:t>
      </w:r>
      <w:r>
        <w:rPr>
          <w:rFonts w:ascii="Times New Roman" w:eastAsia="仿宋_GB2312" w:hAnsi="Times New Roman" w:cs="Times New Roman"/>
          <w:color w:val="000000" w:themeColor="text1"/>
          <w:sz w:val="24"/>
          <w:lang w:val="es-ES"/>
        </w:rPr>
        <w:t>北京燃气</w:t>
      </w:r>
      <w:r>
        <w:rPr>
          <w:rFonts w:ascii="Times New Roman" w:eastAsia="仿宋_GB2312" w:hAnsi="Times New Roman" w:cs="Times New Roman"/>
          <w:color w:val="000000" w:themeColor="text1"/>
          <w:sz w:val="24"/>
          <w:lang w:val="es-ES"/>
        </w:rPr>
        <w:t>), puntos de servicio de gas en diferentes regiones;</w:t>
      </w:r>
    </w:p>
    <w:p w:rsidR="0035270C" w:rsidRDefault="005E280E">
      <w:pPr>
        <w:spacing w:line="360" w:lineRule="auto"/>
        <w:ind w:firstLineChars="200" w:firstLine="480"/>
        <w:rPr>
          <w:rStyle w:val="a5"/>
          <w:rFonts w:ascii="Times New Roman" w:eastAsia="Batang" w:hAnsi="Times New Roman" w:cs="Times New Roman"/>
          <w:color w:val="000000" w:themeColor="text1"/>
          <w:sz w:val="24"/>
          <w:u w:val="none"/>
          <w:lang w:val="es-ES"/>
        </w:rPr>
      </w:pPr>
      <w:r>
        <w:rPr>
          <w:rStyle w:val="a5"/>
          <w:rFonts w:ascii="Times New Roman" w:eastAsia="Batang" w:hAnsi="Times New Roman" w:cs="Times New Roman"/>
          <w:color w:val="000000" w:themeColor="text1"/>
          <w:sz w:val="24"/>
          <w:u w:val="none"/>
          <w:lang w:val="es-ES"/>
        </w:rPr>
        <w:t>Gastos relacionados con el cable Gehua: línea directa de Gehua 96196, salas de negocios, salas de negocios en línea de Gehua (Página web: https://www.96196.tv/)</w:t>
      </w:r>
    </w:p>
    <w:p w:rsidR="0035270C" w:rsidRDefault="005E280E">
      <w:pPr>
        <w:spacing w:line="360" w:lineRule="auto"/>
        <w:ind w:firstLineChars="200" w:firstLine="480"/>
        <w:rPr>
          <w:rFonts w:ascii="Times New Roman" w:eastAsia="仿宋_GB2312" w:hAnsi="Times New Roman" w:cs="Times New Roman"/>
          <w:color w:val="000000" w:themeColor="text1"/>
          <w:sz w:val="24"/>
          <w:lang w:val="es-ES"/>
        </w:rPr>
      </w:pPr>
      <w:r>
        <w:rPr>
          <w:rFonts w:ascii="Times New Roman" w:eastAsia="仿宋_GB2312" w:hAnsi="Times New Roman" w:cs="Times New Roman"/>
          <w:color w:val="000000" w:themeColor="text1"/>
          <w:sz w:val="24"/>
          <w:lang w:val="es-ES"/>
        </w:rPr>
        <w:t>6. La información sobre la cancelación o revocación de la licencia de funcionamiento de una empresa podrá obtenerse de manera gratuita a través del “sistema nacional de publicidad de información crediticia empresarial” (Página web: http://www.gsxt.gov.cn/index.html). Se podrá obtener gratuitamente información sobre si una empresa está en proceso de quiebra a través de la “Red nacional de información sobre casos de reorganización por quiebra de empresas” (Página web: http://pccz.court.gov.cn/pcajxxw/index/xxwsy).</w:t>
      </w:r>
    </w:p>
    <w:p w:rsidR="0035270C" w:rsidRDefault="005E280E">
      <w:pPr>
        <w:spacing w:line="360" w:lineRule="auto"/>
        <w:ind w:firstLine="480"/>
        <w:rPr>
          <w:rFonts w:ascii="Times New Roman" w:eastAsia="仿宋_GB2312" w:hAnsi="Times New Roman" w:cs="Times New Roman"/>
          <w:color w:val="000000" w:themeColor="text1"/>
          <w:sz w:val="24"/>
          <w:lang w:val="es-ES"/>
        </w:rPr>
      </w:pPr>
      <w:r>
        <w:rPr>
          <w:rFonts w:ascii="Times New Roman" w:eastAsia="仿宋_GB2312" w:hAnsi="Times New Roman" w:cs="Times New Roman"/>
          <w:color w:val="000000" w:themeColor="text1"/>
          <w:sz w:val="24"/>
          <w:lang w:val="es-ES"/>
        </w:rPr>
        <w:t>Las informaciones anteriores se podrán consultar en el sitio web de “Ventana de la Capital” (</w:t>
      </w:r>
      <w:r>
        <w:rPr>
          <w:rFonts w:ascii="Times New Roman" w:eastAsia="仿宋_GB2312" w:hAnsi="Times New Roman" w:cs="Times New Roman" w:hint="eastAsia"/>
          <w:color w:val="000000" w:themeColor="text1"/>
          <w:sz w:val="24"/>
          <w:lang w:val="es-ES"/>
        </w:rPr>
        <w:t>首都之窗</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 ruta: “Trámites frecuentes” (</w:t>
      </w:r>
      <w:r>
        <w:rPr>
          <w:rFonts w:ascii="Times New Roman" w:eastAsia="仿宋_GB2312" w:hAnsi="Times New Roman" w:cs="Times New Roman"/>
          <w:color w:val="000000" w:themeColor="text1"/>
          <w:sz w:val="24"/>
          <w:lang w:val="es-ES"/>
        </w:rPr>
        <w:t>办事热点</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 “Registro de bines raíces” (</w:t>
      </w:r>
      <w:r>
        <w:rPr>
          <w:rFonts w:ascii="Times New Roman" w:eastAsia="仿宋_GB2312" w:hAnsi="Times New Roman" w:cs="Times New Roman"/>
          <w:color w:val="000000" w:themeColor="text1"/>
          <w:sz w:val="24"/>
          <w:lang w:val="es-ES"/>
        </w:rPr>
        <w:t>不动产登记</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“Plataforma de servicios en línea de registro de bienes raíces de Beijing” (</w:t>
      </w:r>
      <w:r>
        <w:rPr>
          <w:rFonts w:ascii="Times New Roman" w:eastAsia="仿宋_GB2312" w:hAnsi="Times New Roman" w:cs="Times New Roman"/>
          <w:color w:val="000000" w:themeColor="text1"/>
          <w:sz w:val="24"/>
          <w:lang w:val="es-ES"/>
        </w:rPr>
        <w:t>北京市不动产登记领域网上办事服务平台</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“Consulta de información (</w:t>
      </w:r>
      <w:r>
        <w:rPr>
          <w:rFonts w:ascii="Times New Roman" w:eastAsia="仿宋_GB2312" w:hAnsi="Times New Roman" w:cs="Times New Roman"/>
          <w:color w:val="000000" w:themeColor="text1"/>
          <w:sz w:val="24"/>
          <w:lang w:val="es-ES"/>
        </w:rPr>
        <w:t>信息查询</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“Consulta integral” (</w:t>
      </w:r>
      <w:r>
        <w:rPr>
          <w:rFonts w:ascii="Times New Roman" w:eastAsia="仿宋_GB2312" w:hAnsi="Times New Roman" w:cs="Times New Roman"/>
          <w:color w:val="000000" w:themeColor="text1"/>
          <w:sz w:val="24"/>
          <w:lang w:val="es-ES"/>
        </w:rPr>
        <w:t>综合查询</w:t>
      </w:r>
      <w:r>
        <w:rPr>
          <w:rFonts w:ascii="Times New Roman" w:eastAsia="仿宋_GB2312" w:hAnsi="Times New Roman" w:cs="Times New Roman" w:hint="eastAsia"/>
          <w:color w:val="000000" w:themeColor="text1"/>
          <w:sz w:val="24"/>
          <w:lang w:val="es-ES"/>
        </w:rPr>
        <w:t>,</w:t>
      </w:r>
      <w:r>
        <w:rPr>
          <w:rFonts w:ascii="Times New Roman" w:eastAsia="仿宋_GB2312" w:hAnsi="Times New Roman" w:cs="Times New Roman"/>
          <w:color w:val="000000" w:themeColor="text1"/>
          <w:sz w:val="24"/>
          <w:lang w:val="es-ES"/>
        </w:rPr>
        <w:t xml:space="preserve"> en idioma chino). Nuestro comité revisará o actualizará a tiempo de acuerdo con el cambio de la ruta de acceso a </w:t>
      </w:r>
      <w:r>
        <w:rPr>
          <w:rFonts w:ascii="Times New Roman" w:eastAsia="仿宋_GB2312" w:hAnsi="Times New Roman" w:cs="Times New Roman"/>
          <w:color w:val="000000" w:themeColor="text1"/>
          <w:sz w:val="24"/>
          <w:lang w:val="es-ES"/>
        </w:rPr>
        <w:lastRenderedPageBreak/>
        <w:t>la información relacionada.</w:t>
      </w:r>
    </w:p>
    <w:sectPr w:rsidR="003527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32" w:rsidRDefault="00C84832" w:rsidP="00B938E5">
      <w:pPr>
        <w:spacing w:after="0" w:line="240" w:lineRule="auto"/>
      </w:pPr>
      <w:r>
        <w:separator/>
      </w:r>
    </w:p>
  </w:endnote>
  <w:endnote w:type="continuationSeparator" w:id="0">
    <w:p w:rsidR="00C84832" w:rsidRDefault="00C84832" w:rsidP="00B9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32" w:rsidRDefault="00C84832" w:rsidP="00B938E5">
      <w:pPr>
        <w:spacing w:after="0" w:line="240" w:lineRule="auto"/>
      </w:pPr>
      <w:r>
        <w:separator/>
      </w:r>
    </w:p>
  </w:footnote>
  <w:footnote w:type="continuationSeparator" w:id="0">
    <w:p w:rsidR="00C84832" w:rsidRDefault="00C84832" w:rsidP="00B938E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苟 Ana">
    <w15:presenceInfo w15:providerId="Windows Live" w15:userId="c1ec1b37f8ba519a"/>
  </w15:person>
  <w15:person w15:author="crionline">
    <w15:presenceInfo w15:providerId="None" w15:userId="crion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3B2A"/>
    <w:rsid w:val="000C44BA"/>
    <w:rsid w:val="00144615"/>
    <w:rsid w:val="001600CD"/>
    <w:rsid w:val="00267A04"/>
    <w:rsid w:val="0035270C"/>
    <w:rsid w:val="003D08A1"/>
    <w:rsid w:val="005E280E"/>
    <w:rsid w:val="00611DFA"/>
    <w:rsid w:val="00715DDB"/>
    <w:rsid w:val="008F60FE"/>
    <w:rsid w:val="009C55F8"/>
    <w:rsid w:val="00B938E5"/>
    <w:rsid w:val="00C84832"/>
    <w:rsid w:val="00D509F0"/>
    <w:rsid w:val="00E35B5C"/>
    <w:rsid w:val="00EB6258"/>
    <w:rsid w:val="00F65DAC"/>
    <w:rsid w:val="0442551D"/>
    <w:rsid w:val="09DC3CCE"/>
    <w:rsid w:val="0A521DF8"/>
    <w:rsid w:val="0D31777A"/>
    <w:rsid w:val="1B404A73"/>
    <w:rsid w:val="1B6F08C1"/>
    <w:rsid w:val="1DBD54CB"/>
    <w:rsid w:val="218A09BF"/>
    <w:rsid w:val="21B35BFB"/>
    <w:rsid w:val="224271A9"/>
    <w:rsid w:val="25B62F50"/>
    <w:rsid w:val="2625431A"/>
    <w:rsid w:val="296C56DD"/>
    <w:rsid w:val="29AE4BC4"/>
    <w:rsid w:val="2B8A30C8"/>
    <w:rsid w:val="2D0D4C5E"/>
    <w:rsid w:val="2E7D4D85"/>
    <w:rsid w:val="36103B2A"/>
    <w:rsid w:val="39EB084E"/>
    <w:rsid w:val="39FD667A"/>
    <w:rsid w:val="3AE40E03"/>
    <w:rsid w:val="3B0D32C5"/>
    <w:rsid w:val="3CC43B2D"/>
    <w:rsid w:val="3EDA17A9"/>
    <w:rsid w:val="411E330E"/>
    <w:rsid w:val="41FD1A87"/>
    <w:rsid w:val="431A7879"/>
    <w:rsid w:val="43345AF6"/>
    <w:rsid w:val="43B75026"/>
    <w:rsid w:val="43DF36EB"/>
    <w:rsid w:val="453B23CD"/>
    <w:rsid w:val="4606225F"/>
    <w:rsid w:val="46557374"/>
    <w:rsid w:val="4BB70273"/>
    <w:rsid w:val="4C805D6B"/>
    <w:rsid w:val="4F19159D"/>
    <w:rsid w:val="528C4277"/>
    <w:rsid w:val="53556866"/>
    <w:rsid w:val="545E68AC"/>
    <w:rsid w:val="58C2709B"/>
    <w:rsid w:val="58F24F18"/>
    <w:rsid w:val="5E612485"/>
    <w:rsid w:val="5F57556A"/>
    <w:rsid w:val="5FF003FE"/>
    <w:rsid w:val="60C43CD8"/>
    <w:rsid w:val="62176382"/>
    <w:rsid w:val="65CA4A34"/>
    <w:rsid w:val="67F867D4"/>
    <w:rsid w:val="6E7B49BD"/>
    <w:rsid w:val="6F73618C"/>
    <w:rsid w:val="704D7D45"/>
    <w:rsid w:val="70F06F67"/>
    <w:rsid w:val="753C3567"/>
    <w:rsid w:val="78D839CC"/>
    <w:rsid w:val="7DD3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line="240" w:lineRule="auto"/>
    </w:pPr>
    <w:rPr>
      <w:rFonts w:ascii="Segoe UI" w:hAnsi="Segoe UI" w:cs="Segoe UI"/>
      <w:sz w:val="18"/>
      <w:szCs w:val="18"/>
    </w:rPr>
  </w:style>
  <w:style w:type="character" w:styleId="a4">
    <w:name w:val="FollowedHyperlink"/>
    <w:basedOn w:val="a0"/>
    <w:qFormat/>
    <w:rPr>
      <w:color w:val="3894C1"/>
      <w:u w:val="none"/>
    </w:rPr>
  </w:style>
  <w:style w:type="character" w:styleId="a5">
    <w:name w:val="Hyperlink"/>
    <w:basedOn w:val="a0"/>
    <w:qFormat/>
    <w:rPr>
      <w:color w:val="0000FF"/>
      <w:u w:val="single"/>
    </w:rPr>
  </w:style>
  <w:style w:type="paragraph" w:styleId="a6">
    <w:name w:val="List Paragraph"/>
    <w:basedOn w:val="a"/>
    <w:uiPriority w:val="99"/>
    <w:pPr>
      <w:ind w:left="720"/>
      <w:contextualSpacing/>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
    <w:name w:val="批注框文本 Char"/>
    <w:basedOn w:val="a0"/>
    <w:link w:val="a3"/>
    <w:rPr>
      <w:rFonts w:ascii="Segoe UI" w:eastAsiaTheme="minorEastAsia" w:hAnsi="Segoe UI" w:cs="Segoe UI"/>
      <w:kern w:val="2"/>
      <w:sz w:val="18"/>
      <w:szCs w:val="18"/>
      <w:lang w:val="en-US"/>
    </w:rPr>
  </w:style>
  <w:style w:type="paragraph" w:styleId="a7">
    <w:name w:val="header"/>
    <w:basedOn w:val="a"/>
    <w:link w:val="Char0"/>
    <w:rsid w:val="00B938E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7"/>
    <w:rsid w:val="00B938E5"/>
    <w:rPr>
      <w:rFonts w:asciiTheme="minorHAnsi" w:eastAsiaTheme="minorEastAsia" w:hAnsiTheme="minorHAnsi" w:cstheme="minorBidi"/>
      <w:kern w:val="2"/>
      <w:sz w:val="18"/>
      <w:szCs w:val="18"/>
    </w:rPr>
  </w:style>
  <w:style w:type="paragraph" w:styleId="a8">
    <w:name w:val="footer"/>
    <w:basedOn w:val="a"/>
    <w:link w:val="Char1"/>
    <w:rsid w:val="00B938E5"/>
    <w:pPr>
      <w:tabs>
        <w:tab w:val="center" w:pos="4153"/>
        <w:tab w:val="right" w:pos="8306"/>
      </w:tabs>
      <w:snapToGrid w:val="0"/>
      <w:spacing w:line="240" w:lineRule="auto"/>
      <w:jc w:val="left"/>
    </w:pPr>
    <w:rPr>
      <w:sz w:val="18"/>
      <w:szCs w:val="18"/>
    </w:rPr>
  </w:style>
  <w:style w:type="character" w:customStyle="1" w:styleId="Char1">
    <w:name w:val="页脚 Char"/>
    <w:basedOn w:val="a0"/>
    <w:link w:val="a8"/>
    <w:rsid w:val="00B938E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line="240" w:lineRule="auto"/>
    </w:pPr>
    <w:rPr>
      <w:rFonts w:ascii="Segoe UI" w:hAnsi="Segoe UI" w:cs="Segoe UI"/>
      <w:sz w:val="18"/>
      <w:szCs w:val="18"/>
    </w:rPr>
  </w:style>
  <w:style w:type="character" w:styleId="a4">
    <w:name w:val="FollowedHyperlink"/>
    <w:basedOn w:val="a0"/>
    <w:qFormat/>
    <w:rPr>
      <w:color w:val="3894C1"/>
      <w:u w:val="none"/>
    </w:rPr>
  </w:style>
  <w:style w:type="character" w:styleId="a5">
    <w:name w:val="Hyperlink"/>
    <w:basedOn w:val="a0"/>
    <w:qFormat/>
    <w:rPr>
      <w:color w:val="0000FF"/>
      <w:u w:val="single"/>
    </w:rPr>
  </w:style>
  <w:style w:type="paragraph" w:styleId="a6">
    <w:name w:val="List Paragraph"/>
    <w:basedOn w:val="a"/>
    <w:uiPriority w:val="99"/>
    <w:pPr>
      <w:ind w:left="720"/>
      <w:contextualSpacing/>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
    <w:name w:val="批注框文本 Char"/>
    <w:basedOn w:val="a0"/>
    <w:link w:val="a3"/>
    <w:rPr>
      <w:rFonts w:ascii="Segoe UI" w:eastAsiaTheme="minorEastAsia" w:hAnsi="Segoe UI" w:cs="Segoe UI"/>
      <w:kern w:val="2"/>
      <w:sz w:val="18"/>
      <w:szCs w:val="18"/>
      <w:lang w:val="en-US"/>
    </w:rPr>
  </w:style>
  <w:style w:type="paragraph" w:styleId="a7">
    <w:name w:val="header"/>
    <w:basedOn w:val="a"/>
    <w:link w:val="Char0"/>
    <w:rsid w:val="00B938E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7"/>
    <w:rsid w:val="00B938E5"/>
    <w:rPr>
      <w:rFonts w:asciiTheme="minorHAnsi" w:eastAsiaTheme="minorEastAsia" w:hAnsiTheme="minorHAnsi" w:cstheme="minorBidi"/>
      <w:kern w:val="2"/>
      <w:sz w:val="18"/>
      <w:szCs w:val="18"/>
    </w:rPr>
  </w:style>
  <w:style w:type="paragraph" w:styleId="a8">
    <w:name w:val="footer"/>
    <w:basedOn w:val="a"/>
    <w:link w:val="Char1"/>
    <w:rsid w:val="00B938E5"/>
    <w:pPr>
      <w:tabs>
        <w:tab w:val="center" w:pos="4153"/>
        <w:tab w:val="right" w:pos="8306"/>
      </w:tabs>
      <w:snapToGrid w:val="0"/>
      <w:spacing w:line="240" w:lineRule="auto"/>
      <w:jc w:val="left"/>
    </w:pPr>
    <w:rPr>
      <w:sz w:val="18"/>
      <w:szCs w:val="18"/>
    </w:rPr>
  </w:style>
  <w:style w:type="character" w:customStyle="1" w:styleId="Char1">
    <w:name w:val="页脚 Char"/>
    <w:basedOn w:val="a0"/>
    <w:link w:val="a8"/>
    <w:rsid w:val="00B938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c.ghzrzyw.beijing.gov.cn/eo/user/index.go&#65289;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周坤</dc:creator>
  <cp:lastModifiedBy>tracy</cp:lastModifiedBy>
  <cp:revision>13</cp:revision>
  <dcterms:created xsi:type="dcterms:W3CDTF">2020-02-25T03:11:00Z</dcterms:created>
  <dcterms:modified xsi:type="dcterms:W3CDTF">2021-01-13T08:10:00Z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